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42AC" w14:textId="73503BD0" w:rsidR="00967D92" w:rsidRPr="00967D92" w:rsidRDefault="00967D92" w:rsidP="00967D92">
      <w:pPr>
        <w:shd w:val="clear" w:color="auto" w:fill="FFFFFF"/>
        <w:spacing w:line="240" w:lineRule="auto"/>
        <w:rPr>
          <w:rFonts w:ascii="DIN W01 Cond Medium" w:eastAsia="Times New Roman" w:hAnsi="DIN W01 Cond Medium" w:cs="Times New Roman"/>
          <w:color w:val="FFFFFF"/>
          <w:sz w:val="27"/>
          <w:szCs w:val="27"/>
        </w:rPr>
      </w:pPr>
      <w:r w:rsidRPr="00967D92">
        <w:rPr>
          <w:rFonts w:ascii="DIN W01 Cond Medium" w:eastAsia="Times New Roman" w:hAnsi="DIN W01 Cond Medium" w:cs="Times New Roman"/>
          <w:noProof/>
          <w:color w:val="FFFFFF"/>
          <w:sz w:val="27"/>
          <w:szCs w:val="27"/>
        </w:rPr>
        <w:drawing>
          <wp:inline distT="0" distB="0" distL="0" distR="0" wp14:anchorId="3AA66570" wp14:editId="071CB4C9">
            <wp:extent cx="1524000" cy="1524000"/>
            <wp:effectExtent l="0" t="0" r="0" b="0"/>
            <wp:docPr id="1" name="Picture 1" descr="Zaroogian, Sean 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roogian, Sean 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5547E" w14:textId="02CC952B" w:rsidR="008772A0" w:rsidRDefault="008772A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Sean M. Zaroogian</w:t>
      </w:r>
    </w:p>
    <w:p w14:paraId="27934830" w14:textId="47985E23" w:rsidR="008772A0" w:rsidRPr="008772A0" w:rsidRDefault="008772A0">
      <w:pPr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 / </w:t>
      </w:r>
      <w:r w:rsidRPr="008772A0">
        <w:rPr>
          <w:rFonts w:ascii="Arial" w:hAnsi="Arial" w:cs="Arial"/>
          <w:color w:val="0070C0"/>
          <w:shd w:val="clear" w:color="auto" w:fill="FFFFFF"/>
        </w:rPr>
        <w:t>612.445.8013</w:t>
      </w:r>
    </w:p>
    <w:p w14:paraId="3B603244" w14:textId="6097AC9F" w:rsidR="008772A0" w:rsidRDefault="008772A0">
      <w:pPr>
        <w:rPr>
          <w:rStyle w:val="Hyperlink"/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E / </w:t>
      </w:r>
      <w:hyperlink r:id="rId6" w:history="1">
        <w:r w:rsidRPr="008772A0">
          <w:rPr>
            <w:rStyle w:val="Hyperlink"/>
            <w:rFonts w:ascii="Arial" w:hAnsi="Arial" w:cs="Arial"/>
            <w:color w:val="0070C0"/>
            <w:shd w:val="clear" w:color="auto" w:fill="FFFFFF"/>
          </w:rPr>
          <w:t>sean@bcdavenport.com</w:t>
        </w:r>
      </w:hyperlink>
    </w:p>
    <w:p w14:paraId="1C2729D2" w14:textId="1C0D1562" w:rsidR="007868E7" w:rsidRPr="00B07E4A" w:rsidRDefault="007868E7" w:rsidP="001340AF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u w:val="single"/>
        </w:rPr>
      </w:pPr>
      <w:r w:rsidRPr="00B07E4A">
        <w:rPr>
          <w:rFonts w:ascii="Arial" w:hAnsi="Arial" w:cs="Arial"/>
          <w:color w:val="2F5496" w:themeColor="accent1" w:themeShade="BF"/>
          <w:u w:val="single"/>
        </w:rPr>
        <w:t>MY APPROACH</w:t>
      </w:r>
    </w:p>
    <w:p w14:paraId="1662B16E" w14:textId="75EA9B1F" w:rsidR="00967D92" w:rsidRDefault="0022194A" w:rsidP="008772A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L</w:t>
      </w:r>
      <w:r w:rsidR="00967D92">
        <w:rPr>
          <w:rFonts w:ascii="Arial" w:hAnsi="Arial" w:cs="Arial"/>
          <w:color w:val="333333"/>
          <w:shd w:val="clear" w:color="auto" w:fill="FFFFFF"/>
        </w:rPr>
        <w:t>itigation is a complex and challenging</w:t>
      </w:r>
      <w:r w:rsidR="006639CC">
        <w:rPr>
          <w:rFonts w:ascii="Arial" w:hAnsi="Arial" w:cs="Arial"/>
          <w:color w:val="333333"/>
          <w:shd w:val="clear" w:color="auto" w:fill="FFFFFF"/>
        </w:rPr>
        <w:t xml:space="preserve"> process, one that makes many people uncomfortable when they find themselves in it</w:t>
      </w:r>
      <w:r w:rsidR="00A912A6">
        <w:rPr>
          <w:rFonts w:ascii="Arial" w:hAnsi="Arial" w:cs="Arial"/>
          <w:color w:val="333333"/>
          <w:shd w:val="clear" w:color="auto" w:fill="FFFFFF"/>
        </w:rPr>
        <w:t>.</w:t>
      </w:r>
      <w:r w:rsidR="006639CC">
        <w:rPr>
          <w:rFonts w:ascii="Arial" w:hAnsi="Arial" w:cs="Arial"/>
          <w:color w:val="333333"/>
          <w:shd w:val="clear" w:color="auto" w:fill="FFFFFF"/>
        </w:rPr>
        <w:t xml:space="preserve">  That is where I come in.  I have spent my years as an attorney learning to navigate </w:t>
      </w:r>
      <w:r>
        <w:rPr>
          <w:rFonts w:ascii="Arial" w:hAnsi="Arial" w:cs="Arial"/>
          <w:color w:val="333333"/>
          <w:shd w:val="clear" w:color="auto" w:fill="FFFFFF"/>
        </w:rPr>
        <w:t>th</w:t>
      </w:r>
      <w:r w:rsidR="00E24D85">
        <w:rPr>
          <w:rFonts w:ascii="Arial" w:hAnsi="Arial" w:cs="Arial"/>
          <w:color w:val="333333"/>
          <w:shd w:val="clear" w:color="auto" w:fill="FFFFFF"/>
        </w:rPr>
        <w:t>e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D1952">
        <w:rPr>
          <w:rFonts w:ascii="Arial" w:hAnsi="Arial" w:cs="Arial"/>
          <w:color w:val="333333"/>
          <w:shd w:val="clear" w:color="auto" w:fill="FFFFFF"/>
        </w:rPr>
        <w:t xml:space="preserve">legal </w:t>
      </w:r>
      <w:r w:rsidR="001C38B3">
        <w:rPr>
          <w:rFonts w:ascii="Arial" w:hAnsi="Arial" w:cs="Arial"/>
          <w:color w:val="333333"/>
          <w:shd w:val="clear" w:color="auto" w:fill="FFFFFF"/>
        </w:rPr>
        <w:t xml:space="preserve">landscape </w:t>
      </w:r>
      <w:r w:rsidR="006639CC">
        <w:rPr>
          <w:rFonts w:ascii="Arial" w:hAnsi="Arial" w:cs="Arial"/>
          <w:color w:val="333333"/>
          <w:shd w:val="clear" w:color="auto" w:fill="FFFFFF"/>
        </w:rPr>
        <w:t xml:space="preserve">to successfully protect </w:t>
      </w:r>
      <w:r w:rsidR="00D757F3">
        <w:rPr>
          <w:rFonts w:ascii="Arial" w:hAnsi="Arial" w:cs="Arial"/>
          <w:color w:val="333333"/>
          <w:shd w:val="clear" w:color="auto" w:fill="FFFFFF"/>
        </w:rPr>
        <w:t xml:space="preserve">you and </w:t>
      </w:r>
      <w:r>
        <w:rPr>
          <w:rFonts w:ascii="Arial" w:hAnsi="Arial" w:cs="Arial"/>
          <w:color w:val="333333"/>
          <w:shd w:val="clear" w:color="auto" w:fill="FFFFFF"/>
        </w:rPr>
        <w:t xml:space="preserve">your </w:t>
      </w:r>
      <w:r w:rsidR="006639CC">
        <w:rPr>
          <w:rFonts w:ascii="Arial" w:hAnsi="Arial" w:cs="Arial"/>
          <w:color w:val="333333"/>
          <w:shd w:val="clear" w:color="auto" w:fill="FFFFFF"/>
        </w:rPr>
        <w:t xml:space="preserve">interests in what </w:t>
      </w:r>
      <w:r w:rsidR="002D1952">
        <w:rPr>
          <w:rFonts w:ascii="Arial" w:hAnsi="Arial" w:cs="Arial"/>
          <w:color w:val="333333"/>
          <w:shd w:val="clear" w:color="auto" w:fill="FFFFFF"/>
        </w:rPr>
        <w:t xml:space="preserve">may feel like </w:t>
      </w:r>
      <w:r w:rsidR="006639CC">
        <w:rPr>
          <w:rFonts w:ascii="Arial" w:hAnsi="Arial" w:cs="Arial"/>
          <w:color w:val="333333"/>
          <w:shd w:val="clear" w:color="auto" w:fill="FFFFFF"/>
        </w:rPr>
        <w:t>a zero-sum game</w:t>
      </w:r>
      <w:r>
        <w:rPr>
          <w:rFonts w:ascii="Arial" w:hAnsi="Arial" w:cs="Arial"/>
          <w:color w:val="333333"/>
          <w:shd w:val="clear" w:color="auto" w:fill="FFFFFF"/>
        </w:rPr>
        <w:t xml:space="preserve">.  I know </w:t>
      </w:r>
      <w:r w:rsidR="00967D92">
        <w:rPr>
          <w:rFonts w:ascii="Arial" w:hAnsi="Arial" w:cs="Arial"/>
          <w:color w:val="333333"/>
          <w:shd w:val="clear" w:color="auto" w:fill="FFFFFF"/>
        </w:rPr>
        <w:t xml:space="preserve">how important it is to be diligent, well-informed, and prepared so as to </w:t>
      </w:r>
      <w:r>
        <w:rPr>
          <w:rFonts w:ascii="Arial" w:hAnsi="Arial" w:cs="Arial"/>
          <w:color w:val="333333"/>
          <w:shd w:val="clear" w:color="auto" w:fill="FFFFFF"/>
        </w:rPr>
        <w:t xml:space="preserve">understand </w:t>
      </w:r>
      <w:r w:rsidR="00967D92">
        <w:rPr>
          <w:rFonts w:ascii="Arial" w:hAnsi="Arial" w:cs="Arial"/>
          <w:color w:val="333333"/>
          <w:shd w:val="clear" w:color="auto" w:fill="FFFFFF"/>
        </w:rPr>
        <w:t xml:space="preserve">the full scope of a matter and its impact on 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you and </w:t>
      </w:r>
      <w:r w:rsidR="00967D92">
        <w:rPr>
          <w:rFonts w:ascii="Arial" w:hAnsi="Arial" w:cs="Arial"/>
          <w:color w:val="333333"/>
          <w:shd w:val="clear" w:color="auto" w:fill="FFFFFF"/>
        </w:rPr>
        <w:t xml:space="preserve">your business. </w:t>
      </w:r>
      <w:r>
        <w:rPr>
          <w:rFonts w:ascii="Arial" w:hAnsi="Arial" w:cs="Arial"/>
          <w:color w:val="333333"/>
          <w:shd w:val="clear" w:color="auto" w:fill="FFFFFF"/>
        </w:rPr>
        <w:t xml:space="preserve"> I also understand it is essential to fully comprehend your ultimate </w:t>
      </w:r>
      <w:r w:rsidR="00177AF7">
        <w:rPr>
          <w:rFonts w:ascii="Arial" w:hAnsi="Arial" w:cs="Arial"/>
          <w:color w:val="333333"/>
          <w:shd w:val="clear" w:color="auto" w:fill="FFFFFF"/>
        </w:rPr>
        <w:t>objective</w:t>
      </w:r>
      <w:r>
        <w:rPr>
          <w:rFonts w:ascii="Arial" w:hAnsi="Arial" w:cs="Arial"/>
          <w:color w:val="333333"/>
          <w:shd w:val="clear" w:color="auto" w:fill="FFFFFF"/>
        </w:rPr>
        <w:t xml:space="preserve">, placing 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that </w:t>
      </w:r>
      <w:r>
        <w:rPr>
          <w:rFonts w:ascii="Arial" w:hAnsi="Arial" w:cs="Arial"/>
          <w:color w:val="333333"/>
          <w:shd w:val="clear" w:color="auto" w:fill="FFFFFF"/>
        </w:rPr>
        <w:t>first and foremost in strategic decision</w:t>
      </w:r>
      <w:r w:rsidR="00177AF7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</w:rPr>
        <w:t xml:space="preserve">making.  That is why I go the extra mile to 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work </w:t>
      </w:r>
      <w:r w:rsidR="00177AF7" w:rsidRPr="00177AF7">
        <w:rPr>
          <w:rFonts w:ascii="Arial" w:hAnsi="Arial" w:cs="Arial"/>
          <w:i/>
          <w:iCs/>
          <w:color w:val="333333"/>
          <w:shd w:val="clear" w:color="auto" w:fill="FFFFFF"/>
        </w:rPr>
        <w:t>with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 you to make sure </w:t>
      </w:r>
      <w:r>
        <w:rPr>
          <w:rFonts w:ascii="Arial" w:hAnsi="Arial" w:cs="Arial"/>
          <w:color w:val="333333"/>
          <w:shd w:val="clear" w:color="auto" w:fill="FFFFFF"/>
        </w:rPr>
        <w:t>I understand every facet of your case.</w:t>
      </w:r>
      <w:r w:rsidR="002D1952">
        <w:rPr>
          <w:rFonts w:ascii="Arial" w:hAnsi="Arial" w:cs="Arial"/>
          <w:color w:val="333333"/>
          <w:shd w:val="clear" w:color="auto" w:fill="FFFFFF"/>
        </w:rPr>
        <w:t xml:space="preserve">  When working with me, you can expect a full partnership in devising legal arguments and strategies to advance your interests. </w:t>
      </w:r>
    </w:p>
    <w:p w14:paraId="3823DB5B" w14:textId="645BBCCE" w:rsidR="00A7671E" w:rsidRDefault="0022021C" w:rsidP="008772A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My advocacy brings with it 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a wealth of litigation experience.  </w:t>
      </w:r>
      <w:r>
        <w:rPr>
          <w:rFonts w:ascii="Arial" w:hAnsi="Arial" w:cs="Arial"/>
          <w:color w:val="333333"/>
          <w:shd w:val="clear" w:color="auto" w:fill="FFFFFF"/>
        </w:rPr>
        <w:t xml:space="preserve">Before moving to Minnesota, 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I </w:t>
      </w:r>
      <w:r>
        <w:rPr>
          <w:rFonts w:ascii="Arial" w:hAnsi="Arial" w:cs="Arial"/>
          <w:color w:val="333333"/>
          <w:shd w:val="clear" w:color="auto" w:fill="FFFFFF"/>
        </w:rPr>
        <w:t xml:space="preserve">practiced 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in New York City representing large institutional investors, shareholders, </w:t>
      </w:r>
      <w:r>
        <w:rPr>
          <w:rFonts w:ascii="Arial" w:hAnsi="Arial" w:cs="Arial"/>
          <w:color w:val="333333"/>
          <w:shd w:val="clear" w:color="auto" w:fill="FFFFFF"/>
        </w:rPr>
        <w:t xml:space="preserve">governmental bodies, </w:t>
      </w:r>
      <w:r w:rsidR="00177AF7">
        <w:rPr>
          <w:rFonts w:ascii="Arial" w:hAnsi="Arial" w:cs="Arial"/>
          <w:color w:val="333333"/>
          <w:shd w:val="clear" w:color="auto" w:fill="FFFFFF"/>
        </w:rPr>
        <w:t>and individuals in securities litigation</w:t>
      </w:r>
      <w:r w:rsidR="006A6481">
        <w:rPr>
          <w:rFonts w:ascii="Arial" w:hAnsi="Arial" w:cs="Arial"/>
          <w:color w:val="333333"/>
          <w:shd w:val="clear" w:color="auto" w:fill="FFFFFF"/>
        </w:rPr>
        <w:t>s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, shareholder disputes, </w:t>
      </w:r>
      <w:r>
        <w:rPr>
          <w:rFonts w:ascii="Arial" w:hAnsi="Arial" w:cs="Arial"/>
          <w:color w:val="333333"/>
          <w:shd w:val="clear" w:color="auto" w:fill="FFFFFF"/>
        </w:rPr>
        <w:t xml:space="preserve">real estate matters, 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and class actions.  </w:t>
      </w:r>
      <w:r w:rsidR="0095504B">
        <w:rPr>
          <w:rFonts w:ascii="Arial" w:hAnsi="Arial" w:cs="Arial"/>
          <w:color w:val="333333"/>
          <w:shd w:val="clear" w:color="auto" w:fill="FFFFFF"/>
        </w:rPr>
        <w:t xml:space="preserve">Achieving successful results in these 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complex </w:t>
      </w:r>
      <w:r w:rsidR="00607D7D">
        <w:rPr>
          <w:rFonts w:ascii="Arial" w:hAnsi="Arial" w:cs="Arial"/>
          <w:color w:val="333333"/>
          <w:shd w:val="clear" w:color="auto" w:fill="FFFFFF"/>
        </w:rPr>
        <w:t>cases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5504B">
        <w:rPr>
          <w:rFonts w:ascii="Arial" w:hAnsi="Arial" w:cs="Arial"/>
          <w:color w:val="333333"/>
          <w:shd w:val="clear" w:color="auto" w:fill="FFFFFF"/>
        </w:rPr>
        <w:t xml:space="preserve">required litigation </w:t>
      </w:r>
      <w:r w:rsidR="00177AF7">
        <w:rPr>
          <w:rFonts w:ascii="Arial" w:hAnsi="Arial" w:cs="Arial"/>
          <w:color w:val="333333"/>
          <w:shd w:val="clear" w:color="auto" w:fill="FFFFFF"/>
        </w:rPr>
        <w:t>in courtrooms throughout the United States</w:t>
      </w:r>
      <w:r w:rsidR="00A7671E">
        <w:rPr>
          <w:rFonts w:ascii="Arial" w:hAnsi="Arial" w:cs="Arial"/>
          <w:color w:val="333333"/>
          <w:shd w:val="clear" w:color="auto" w:fill="FFFFFF"/>
        </w:rPr>
        <w:t xml:space="preserve"> against some of the most well-funded </w:t>
      </w:r>
      <w:r w:rsidR="001C38B3">
        <w:rPr>
          <w:rFonts w:ascii="Arial" w:hAnsi="Arial" w:cs="Arial"/>
          <w:color w:val="333333"/>
          <w:shd w:val="clear" w:color="auto" w:fill="FFFFFF"/>
        </w:rPr>
        <w:t>oppo</w:t>
      </w:r>
      <w:r w:rsidR="00E24D85">
        <w:rPr>
          <w:rFonts w:ascii="Arial" w:hAnsi="Arial" w:cs="Arial"/>
          <w:color w:val="333333"/>
          <w:shd w:val="clear" w:color="auto" w:fill="FFFFFF"/>
        </w:rPr>
        <w:t>nents and law firms around</w:t>
      </w:r>
      <w:r w:rsidR="00177AF7">
        <w:rPr>
          <w:rFonts w:ascii="Arial" w:hAnsi="Arial" w:cs="Arial"/>
          <w:color w:val="333333"/>
          <w:shd w:val="clear" w:color="auto" w:fill="FFFFFF"/>
        </w:rPr>
        <w:t xml:space="preserve">.  </w:t>
      </w:r>
      <w:r w:rsidR="0095504B">
        <w:rPr>
          <w:rFonts w:ascii="Arial" w:hAnsi="Arial" w:cs="Arial"/>
          <w:color w:val="333333"/>
          <w:shd w:val="clear" w:color="auto" w:fill="FFFFFF"/>
        </w:rPr>
        <w:t xml:space="preserve">These cases </w:t>
      </w:r>
      <w:r w:rsidR="001C38B3">
        <w:rPr>
          <w:rFonts w:ascii="Arial" w:hAnsi="Arial" w:cs="Arial"/>
          <w:color w:val="333333"/>
          <w:shd w:val="clear" w:color="auto" w:fill="FFFFFF"/>
        </w:rPr>
        <w:t xml:space="preserve">taught me that </w:t>
      </w:r>
      <w:r w:rsidR="00A7671E">
        <w:rPr>
          <w:rFonts w:ascii="Arial" w:hAnsi="Arial" w:cs="Arial"/>
          <w:color w:val="333333"/>
          <w:shd w:val="clear" w:color="auto" w:fill="FFFFFF"/>
        </w:rPr>
        <w:t xml:space="preserve">each </w:t>
      </w:r>
      <w:r w:rsidR="0095504B">
        <w:rPr>
          <w:rFonts w:ascii="Arial" w:hAnsi="Arial" w:cs="Arial"/>
          <w:color w:val="333333"/>
          <w:shd w:val="clear" w:color="auto" w:fill="FFFFFF"/>
        </w:rPr>
        <w:t xml:space="preserve">dispute </w:t>
      </w:r>
      <w:r w:rsidR="00A7671E">
        <w:rPr>
          <w:rFonts w:ascii="Arial" w:hAnsi="Arial" w:cs="Arial"/>
          <w:color w:val="333333"/>
          <w:shd w:val="clear" w:color="auto" w:fill="FFFFFF"/>
        </w:rPr>
        <w:t xml:space="preserve">is unique, and the approach </w:t>
      </w:r>
      <w:r w:rsidR="0095504B">
        <w:rPr>
          <w:rFonts w:ascii="Arial" w:hAnsi="Arial" w:cs="Arial"/>
          <w:color w:val="333333"/>
          <w:shd w:val="clear" w:color="auto" w:fill="FFFFFF"/>
        </w:rPr>
        <w:t xml:space="preserve">for securing a successful outcome </w:t>
      </w:r>
      <w:r w:rsidR="00A7671E">
        <w:rPr>
          <w:rFonts w:ascii="Arial" w:hAnsi="Arial" w:cs="Arial"/>
          <w:color w:val="333333"/>
          <w:shd w:val="clear" w:color="auto" w:fill="FFFFFF"/>
        </w:rPr>
        <w:t xml:space="preserve">should be devised accordingly.  </w:t>
      </w:r>
      <w:r w:rsidR="0095504B">
        <w:rPr>
          <w:rFonts w:ascii="Arial" w:hAnsi="Arial" w:cs="Arial"/>
          <w:color w:val="333333"/>
          <w:shd w:val="clear" w:color="auto" w:fill="FFFFFF"/>
        </w:rPr>
        <w:t xml:space="preserve">Combining this </w:t>
      </w:r>
      <w:r>
        <w:rPr>
          <w:rFonts w:ascii="Arial" w:hAnsi="Arial" w:cs="Arial"/>
          <w:color w:val="333333"/>
          <w:shd w:val="clear" w:color="auto" w:fill="FFFFFF"/>
        </w:rPr>
        <w:t xml:space="preserve">with my </w:t>
      </w:r>
      <w:r w:rsidR="0095504B">
        <w:rPr>
          <w:rFonts w:ascii="Arial" w:hAnsi="Arial" w:cs="Arial"/>
          <w:color w:val="333333"/>
          <w:shd w:val="clear" w:color="auto" w:fill="FFFFFF"/>
        </w:rPr>
        <w:t xml:space="preserve">experience </w:t>
      </w:r>
      <w:r w:rsidR="00177AF7">
        <w:rPr>
          <w:rFonts w:ascii="Arial" w:hAnsi="Arial" w:cs="Arial"/>
          <w:color w:val="333333"/>
          <w:shd w:val="clear" w:color="auto" w:fill="FFFFFF"/>
        </w:rPr>
        <w:t>working in the New York State Attorney General’s Office, the United States District Court for the District of Massachusetts, and the D.C. Securities Bureau</w:t>
      </w:r>
      <w:r>
        <w:rPr>
          <w:rFonts w:ascii="Arial" w:hAnsi="Arial" w:cs="Arial"/>
          <w:color w:val="333333"/>
          <w:shd w:val="clear" w:color="auto" w:fill="FFFFFF"/>
        </w:rPr>
        <w:t xml:space="preserve">, I have developed an innate ability to advocate on </w:t>
      </w:r>
      <w:r w:rsidR="0095504B">
        <w:rPr>
          <w:rFonts w:ascii="Arial" w:hAnsi="Arial" w:cs="Arial"/>
          <w:color w:val="333333"/>
          <w:shd w:val="clear" w:color="auto" w:fill="FFFFFF"/>
        </w:rPr>
        <w:t>behalf of my clients, whether the subject matter be complex or straight-forward, with an eye always towards the most efficient route to success.</w:t>
      </w:r>
    </w:p>
    <w:p w14:paraId="5760B0C5" w14:textId="63D93BE1" w:rsidR="007868E7" w:rsidRPr="00B07E4A" w:rsidRDefault="007868E7" w:rsidP="001340AF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2F5496" w:themeColor="accent1" w:themeShade="BF"/>
          <w:u w:val="single"/>
        </w:rPr>
        <w:t>LIHTC</w:t>
      </w:r>
      <w:proofErr w:type="spellEnd"/>
      <w:r>
        <w:rPr>
          <w:rFonts w:ascii="Arial" w:hAnsi="Arial" w:cs="Arial"/>
          <w:color w:val="2F5496" w:themeColor="accent1" w:themeShade="BF"/>
          <w:u w:val="single"/>
        </w:rPr>
        <w:t xml:space="preserve"> “YEAR 15” DISPUTE </w:t>
      </w:r>
      <w:r w:rsidRPr="00B07E4A">
        <w:rPr>
          <w:rFonts w:ascii="Arial" w:hAnsi="Arial" w:cs="Arial"/>
          <w:color w:val="2F5496" w:themeColor="accent1" w:themeShade="BF"/>
          <w:u w:val="single"/>
        </w:rPr>
        <w:t xml:space="preserve">EXPERIENCE </w:t>
      </w:r>
    </w:p>
    <w:p w14:paraId="4EBA56F0" w14:textId="57C4A894" w:rsidR="00EC4EAF" w:rsidRDefault="00EC4EAF" w:rsidP="00EC4EA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Representing a non-profit and affordable housing developer in a dispute over an exercise of a Section 42 ROFR in Boston, Massachusetts. </w:t>
      </w:r>
    </w:p>
    <w:p w14:paraId="788E1822" w14:textId="0B3BC189" w:rsidR="00EC4EAF" w:rsidRDefault="00EC4EAF" w:rsidP="00EC4EA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Representing a non-profit and affordable housing developer in a dispute over an exercise of a Section 42 ROFR in </w:t>
      </w:r>
      <w:r w:rsidR="00802311">
        <w:rPr>
          <w:rFonts w:ascii="Arial" w:hAnsi="Arial" w:cs="Arial"/>
          <w:color w:val="333333"/>
          <w:shd w:val="clear" w:color="auto" w:fill="FFFFFF"/>
        </w:rPr>
        <w:t>Coachella</w:t>
      </w:r>
      <w:r>
        <w:rPr>
          <w:rFonts w:ascii="Arial" w:hAnsi="Arial" w:cs="Arial"/>
          <w:color w:val="333333"/>
          <w:shd w:val="clear" w:color="auto" w:fill="FFFFFF"/>
        </w:rPr>
        <w:t xml:space="preserve">, California. </w:t>
      </w:r>
    </w:p>
    <w:p w14:paraId="2743220D" w14:textId="41C629B1" w:rsidR="00EC4EAF" w:rsidRDefault="00EC4EAF" w:rsidP="00EC4EA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Representing a</w:t>
      </w:r>
      <w:r w:rsidR="00363AD2">
        <w:rPr>
          <w:rFonts w:ascii="Arial" w:hAnsi="Arial" w:cs="Arial"/>
          <w:color w:val="333333"/>
          <w:shd w:val="clear" w:color="auto" w:fill="FFFFFF"/>
        </w:rPr>
        <w:t xml:space="preserve">n affordable housing developer </w:t>
      </w:r>
      <w:r>
        <w:rPr>
          <w:rFonts w:ascii="Arial" w:hAnsi="Arial" w:cs="Arial"/>
          <w:color w:val="333333"/>
          <w:shd w:val="clear" w:color="auto" w:fill="FFFFFF"/>
        </w:rPr>
        <w:t xml:space="preserve">in a dispute over its exercise of a purchase option following the close of the 15-year compliance period in </w:t>
      </w:r>
      <w:r w:rsidR="00802311">
        <w:rPr>
          <w:rFonts w:ascii="Arial" w:hAnsi="Arial" w:cs="Arial"/>
          <w:color w:val="333333"/>
          <w:shd w:val="clear" w:color="auto" w:fill="FFFFFF"/>
        </w:rPr>
        <w:t xml:space="preserve">Carol Stream, </w:t>
      </w:r>
      <w:r>
        <w:rPr>
          <w:rFonts w:ascii="Arial" w:hAnsi="Arial" w:cs="Arial"/>
          <w:color w:val="333333"/>
          <w:shd w:val="clear" w:color="auto" w:fill="FFFFFF"/>
        </w:rPr>
        <w:t xml:space="preserve">Illinois. </w:t>
      </w:r>
    </w:p>
    <w:p w14:paraId="6A945E77" w14:textId="77777777" w:rsidR="002D1952" w:rsidRDefault="002D1952" w:rsidP="002D1952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Representing an affordable housing developer in a dispute involving the exercise of its purchase option following the close of the 15-year compliance period in Tarrant County, Texas.</w:t>
      </w:r>
    </w:p>
    <w:p w14:paraId="761567DD" w14:textId="398F6F01" w:rsidR="00EC4EAF" w:rsidRDefault="00EC4EAF" w:rsidP="00EC4EA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Representing an affordable housing developer in a series of disputes involving the exercise of purchase options following the close of the 15-year compliance periods </w:t>
      </w:r>
      <w:r w:rsidR="007A46AE">
        <w:rPr>
          <w:rFonts w:ascii="Arial" w:hAnsi="Arial" w:cs="Arial"/>
          <w:color w:val="333333"/>
          <w:shd w:val="clear" w:color="auto" w:fill="FFFFFF"/>
        </w:rPr>
        <w:t xml:space="preserve">in </w:t>
      </w:r>
      <w:r>
        <w:rPr>
          <w:rFonts w:ascii="Arial" w:hAnsi="Arial" w:cs="Arial"/>
          <w:color w:val="333333"/>
          <w:shd w:val="clear" w:color="auto" w:fill="FFFFFF"/>
        </w:rPr>
        <w:t>Illinois and Kentucky.</w:t>
      </w:r>
    </w:p>
    <w:p w14:paraId="2DB355DB" w14:textId="45B034F1" w:rsidR="00EC4EAF" w:rsidRDefault="00EC4EAF" w:rsidP="00EC4EA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Representing an affordable housing developer in a series of disputes involving the exercise of its purchase option</w:t>
      </w:r>
      <w:r w:rsidR="002D1952">
        <w:rPr>
          <w:rFonts w:ascii="Arial" w:hAnsi="Arial" w:cs="Arial"/>
          <w:color w:val="333333"/>
          <w:shd w:val="clear" w:color="auto" w:fill="FFFFFF"/>
        </w:rPr>
        <w:t>s</w:t>
      </w:r>
      <w:r>
        <w:rPr>
          <w:rFonts w:ascii="Arial" w:hAnsi="Arial" w:cs="Arial"/>
          <w:color w:val="333333"/>
          <w:shd w:val="clear" w:color="auto" w:fill="FFFFFF"/>
        </w:rPr>
        <w:t xml:space="preserve"> following the close of the 15-year compliance period</w:t>
      </w:r>
      <w:r w:rsidR="002D1952">
        <w:rPr>
          <w:rFonts w:ascii="Arial" w:hAnsi="Arial" w:cs="Arial"/>
          <w:color w:val="333333"/>
          <w:shd w:val="clear" w:color="auto" w:fill="FFFFFF"/>
        </w:rPr>
        <w:t>s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A46AE">
        <w:rPr>
          <w:rFonts w:ascii="Arial" w:hAnsi="Arial" w:cs="Arial"/>
          <w:color w:val="333333"/>
          <w:shd w:val="clear" w:color="auto" w:fill="FFFFFF"/>
        </w:rPr>
        <w:t xml:space="preserve">in </w:t>
      </w:r>
      <w:r>
        <w:rPr>
          <w:rFonts w:ascii="Arial" w:hAnsi="Arial" w:cs="Arial"/>
          <w:color w:val="333333"/>
          <w:shd w:val="clear" w:color="auto" w:fill="FFFFFF"/>
        </w:rPr>
        <w:t>New York.</w:t>
      </w:r>
    </w:p>
    <w:p w14:paraId="0BD7EDB8" w14:textId="13EBD0E7" w:rsidR="00EC4EAF" w:rsidRDefault="00EC4EAF" w:rsidP="00EC4EA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Representing an affordable housing developer in a series of disputes in which 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LIHTC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tax credit investor is attempting to remove the developer as general partner after the close of the 15-year compliance period.</w:t>
      </w:r>
    </w:p>
    <w:p w14:paraId="56D12D94" w14:textId="23382255" w:rsidR="00607D7D" w:rsidRPr="007868E7" w:rsidRDefault="007868E7" w:rsidP="001340AF">
      <w:pPr>
        <w:spacing w:before="240" w:after="2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68E7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OTHER REPRESENTATIVE EXPERIENCE</w:t>
      </w:r>
      <w:r w:rsidR="002D1952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 xml:space="preserve"> </w:t>
      </w:r>
    </w:p>
    <w:p w14:paraId="6C4510B6" w14:textId="59795D0D" w:rsidR="007A46AE" w:rsidRDefault="00B26134" w:rsidP="007A46AE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</w:t>
      </w:r>
      <w:r w:rsidR="007A46AE">
        <w:rPr>
          <w:rFonts w:ascii="Arial" w:hAnsi="Arial" w:cs="Arial"/>
          <w:color w:val="333333"/>
          <w:shd w:val="clear" w:color="auto" w:fill="FFFFFF"/>
        </w:rPr>
        <w:t xml:space="preserve">epresented a </w:t>
      </w:r>
      <w:r w:rsidR="002D1952">
        <w:rPr>
          <w:rFonts w:ascii="Arial" w:hAnsi="Arial" w:cs="Arial"/>
          <w:color w:val="333333"/>
          <w:shd w:val="clear" w:color="auto" w:fill="FFFFFF"/>
        </w:rPr>
        <w:t xml:space="preserve">large </w:t>
      </w:r>
      <w:r w:rsidR="007A46AE">
        <w:rPr>
          <w:rFonts w:ascii="Arial" w:hAnsi="Arial" w:cs="Arial"/>
          <w:color w:val="333333"/>
          <w:shd w:val="clear" w:color="auto" w:fill="FFFFFF"/>
        </w:rPr>
        <w:t>real estate developer against allegations of breach of contract, violations of consumer protection statutes, and unjust enrichment in Minnesota</w:t>
      </w:r>
      <w:r w:rsidR="002D1952">
        <w:rPr>
          <w:rFonts w:ascii="Arial" w:hAnsi="Arial" w:cs="Arial"/>
          <w:color w:val="333333"/>
          <w:shd w:val="clear" w:color="auto" w:fill="FFFFFF"/>
        </w:rPr>
        <w:t>.</w:t>
      </w:r>
    </w:p>
    <w:p w14:paraId="260CF548" w14:textId="1C735269" w:rsidR="007A46AE" w:rsidRDefault="00B26134" w:rsidP="007A46AE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</w:t>
      </w:r>
      <w:r w:rsidR="00527BD3">
        <w:rPr>
          <w:rFonts w:ascii="Arial" w:hAnsi="Arial" w:cs="Arial"/>
          <w:color w:val="333333"/>
          <w:shd w:val="clear" w:color="auto" w:fill="FFFFFF"/>
        </w:rPr>
        <w:t xml:space="preserve">epresented </w:t>
      </w:r>
      <w:r w:rsidR="0079258B">
        <w:rPr>
          <w:rFonts w:ascii="Arial" w:hAnsi="Arial" w:cs="Arial"/>
          <w:color w:val="333333"/>
          <w:shd w:val="clear" w:color="auto" w:fill="FFFFFF"/>
        </w:rPr>
        <w:t xml:space="preserve">a </w:t>
      </w:r>
      <w:r w:rsidR="001B6760">
        <w:rPr>
          <w:rFonts w:ascii="Arial" w:hAnsi="Arial" w:cs="Arial"/>
          <w:color w:val="333333"/>
          <w:shd w:val="clear" w:color="auto" w:fill="FFFFFF"/>
        </w:rPr>
        <w:t xml:space="preserve">public </w:t>
      </w:r>
      <w:r w:rsidR="0079258B">
        <w:rPr>
          <w:rFonts w:ascii="Arial" w:hAnsi="Arial" w:cs="Arial"/>
          <w:color w:val="333333"/>
          <w:shd w:val="clear" w:color="auto" w:fill="FFFFFF"/>
        </w:rPr>
        <w:t xml:space="preserve">employee pension fund as lead plaintiff in a securities litigation class action brought under Sections 10(b) and 20(a) of the Securities and Exchange Act of 1934, relating to a public company’s </w:t>
      </w:r>
      <w:r w:rsidR="00CD1512">
        <w:rPr>
          <w:rFonts w:ascii="Arial" w:hAnsi="Arial" w:cs="Arial"/>
          <w:color w:val="333333"/>
          <w:shd w:val="clear" w:color="auto" w:fill="FFFFFF"/>
        </w:rPr>
        <w:t xml:space="preserve">widespread </w:t>
      </w:r>
      <w:r w:rsidR="0079258B">
        <w:rPr>
          <w:rFonts w:ascii="Arial" w:hAnsi="Arial" w:cs="Arial"/>
          <w:color w:val="333333"/>
          <w:shd w:val="clear" w:color="auto" w:fill="FFFFFF"/>
        </w:rPr>
        <w:t>scheme to commit Medicare fraud.</w:t>
      </w:r>
    </w:p>
    <w:p w14:paraId="174DDA7B" w14:textId="405C9E20" w:rsidR="00945774" w:rsidRDefault="00945774" w:rsidP="00945774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Represented an investment fund in a securities litigation class action relating to a public company’s </w:t>
      </w:r>
      <w:r w:rsidR="00E71887">
        <w:rPr>
          <w:rFonts w:ascii="Arial" w:hAnsi="Arial" w:cs="Arial"/>
          <w:color w:val="333333"/>
          <w:shd w:val="clear" w:color="auto" w:fill="FFFFFF"/>
        </w:rPr>
        <w:t>false representations leading to a multi-</w:t>
      </w:r>
      <w:r w:rsidR="004542D4">
        <w:rPr>
          <w:rFonts w:ascii="Arial" w:hAnsi="Arial" w:cs="Arial"/>
          <w:color w:val="333333"/>
          <w:shd w:val="clear" w:color="auto" w:fill="FFFFFF"/>
        </w:rPr>
        <w:t>billion-dollar</w:t>
      </w:r>
      <w:r w:rsidR="00E71887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goodwill impairment.</w:t>
      </w:r>
    </w:p>
    <w:p w14:paraId="50A9A1C6" w14:textId="03034CD4" w:rsidR="0079258B" w:rsidRDefault="00B26134" w:rsidP="007A46AE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</w:t>
      </w:r>
      <w:r w:rsidR="0079258B">
        <w:rPr>
          <w:rFonts w:ascii="Arial" w:hAnsi="Arial" w:cs="Arial"/>
          <w:color w:val="333333"/>
          <w:shd w:val="clear" w:color="auto" w:fill="FFFFFF"/>
        </w:rPr>
        <w:t>epresented shareholders in a breach of fiduciary duty lawsuit relating to the acquisition of a public company at an unfair price, resulting in a substantial financial recovery.</w:t>
      </w:r>
    </w:p>
    <w:p w14:paraId="122F466C" w14:textId="141D1C8F" w:rsidR="0079258B" w:rsidRDefault="00B26134" w:rsidP="0079258B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</w:t>
      </w:r>
      <w:r w:rsidR="0079258B">
        <w:rPr>
          <w:rFonts w:ascii="Arial" w:hAnsi="Arial" w:cs="Arial"/>
          <w:color w:val="333333"/>
          <w:shd w:val="clear" w:color="auto" w:fill="FFFFFF"/>
        </w:rPr>
        <w:t>epresented shareholders in a breach of fiduciary duty lawsuit relating to the acquisition of a public company at an unfair price and pursuant to an unfair process.</w:t>
      </w:r>
    </w:p>
    <w:p w14:paraId="2D178BD5" w14:textId="5AA1383A" w:rsidR="0079258B" w:rsidRDefault="00B26134" w:rsidP="0079258B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</w:t>
      </w:r>
      <w:r w:rsidR="0079258B">
        <w:rPr>
          <w:rFonts w:ascii="Arial" w:hAnsi="Arial" w:cs="Arial"/>
          <w:color w:val="333333"/>
          <w:shd w:val="clear" w:color="auto" w:fill="FFFFFF"/>
        </w:rPr>
        <w:t xml:space="preserve">epresented a class of individuals who were charged exorbitant fees for out-of-network </w:t>
      </w:r>
      <w:r w:rsidR="002370B8">
        <w:rPr>
          <w:rFonts w:ascii="Arial" w:hAnsi="Arial" w:cs="Arial"/>
          <w:color w:val="333333"/>
          <w:shd w:val="clear" w:color="auto" w:fill="FFFFFF"/>
        </w:rPr>
        <w:t xml:space="preserve">emergency room </w:t>
      </w:r>
      <w:r w:rsidR="004542D4">
        <w:rPr>
          <w:rFonts w:ascii="Arial" w:hAnsi="Arial" w:cs="Arial"/>
          <w:color w:val="333333"/>
          <w:shd w:val="clear" w:color="auto" w:fill="FFFFFF"/>
        </w:rPr>
        <w:t xml:space="preserve">services provided </w:t>
      </w:r>
      <w:r w:rsidR="002370B8">
        <w:rPr>
          <w:rFonts w:ascii="Arial" w:hAnsi="Arial" w:cs="Arial"/>
          <w:color w:val="333333"/>
          <w:shd w:val="clear" w:color="auto" w:fill="FFFFFF"/>
        </w:rPr>
        <w:t xml:space="preserve">at </w:t>
      </w:r>
      <w:r w:rsidR="0079258B">
        <w:rPr>
          <w:rFonts w:ascii="Arial" w:hAnsi="Arial" w:cs="Arial"/>
          <w:color w:val="333333"/>
          <w:shd w:val="clear" w:color="auto" w:fill="FFFFFF"/>
        </w:rPr>
        <w:t xml:space="preserve">in-network </w:t>
      </w:r>
      <w:r w:rsidR="002370B8">
        <w:rPr>
          <w:rFonts w:ascii="Arial" w:hAnsi="Arial" w:cs="Arial"/>
          <w:color w:val="333333"/>
          <w:shd w:val="clear" w:color="auto" w:fill="FFFFFF"/>
        </w:rPr>
        <w:t xml:space="preserve">hospitals </w:t>
      </w:r>
      <w:r w:rsidR="0079258B">
        <w:rPr>
          <w:rFonts w:ascii="Arial" w:hAnsi="Arial" w:cs="Arial"/>
          <w:color w:val="333333"/>
          <w:shd w:val="clear" w:color="auto" w:fill="FFFFFF"/>
        </w:rPr>
        <w:t xml:space="preserve">in California. </w:t>
      </w:r>
    </w:p>
    <w:p w14:paraId="5D6542BA" w14:textId="2AD7EAAC" w:rsidR="0079258B" w:rsidRDefault="00B26134" w:rsidP="0079258B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Represented </w:t>
      </w:r>
      <w:r w:rsidR="004542D4">
        <w:rPr>
          <w:rFonts w:ascii="Arial" w:hAnsi="Arial" w:cs="Arial"/>
          <w:color w:val="333333"/>
          <w:shd w:val="clear" w:color="auto" w:fill="FFFFFF"/>
        </w:rPr>
        <w:t xml:space="preserve">a shareholder in a lawsuit seeking the book and records of a public company, </w:t>
      </w:r>
      <w:r w:rsidR="0079258B">
        <w:rPr>
          <w:rFonts w:ascii="Arial" w:hAnsi="Arial" w:cs="Arial"/>
          <w:color w:val="333333"/>
          <w:shd w:val="clear" w:color="auto" w:fill="FFFFFF"/>
        </w:rPr>
        <w:t xml:space="preserve">which resulted in the filing of </w:t>
      </w:r>
      <w:r w:rsidR="0045015B">
        <w:rPr>
          <w:rFonts w:ascii="Arial" w:hAnsi="Arial" w:cs="Arial"/>
          <w:color w:val="333333"/>
          <w:shd w:val="clear" w:color="auto" w:fill="FFFFFF"/>
        </w:rPr>
        <w:t xml:space="preserve">a </w:t>
      </w:r>
      <w:r w:rsidR="0079258B">
        <w:rPr>
          <w:rFonts w:ascii="Arial" w:hAnsi="Arial" w:cs="Arial"/>
          <w:color w:val="333333"/>
          <w:shd w:val="clear" w:color="auto" w:fill="FFFFFF"/>
        </w:rPr>
        <w:t>breach of fiduciary duty lawsuit.</w:t>
      </w:r>
    </w:p>
    <w:p w14:paraId="1C5A2D98" w14:textId="231023FC" w:rsidR="0079258B" w:rsidRDefault="00B26134" w:rsidP="007A46AE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Represented individuals around the country </w:t>
      </w:r>
      <w:r w:rsidR="0079258B">
        <w:rPr>
          <w:rFonts w:ascii="Arial" w:hAnsi="Arial" w:cs="Arial"/>
          <w:color w:val="333333"/>
          <w:shd w:val="clear" w:color="auto" w:fill="FFFFFF"/>
        </w:rPr>
        <w:t xml:space="preserve">who received exorbitant bills </w:t>
      </w:r>
      <w:r>
        <w:rPr>
          <w:rFonts w:ascii="Arial" w:hAnsi="Arial" w:cs="Arial"/>
          <w:color w:val="333333"/>
          <w:shd w:val="clear" w:color="auto" w:fill="FFFFFF"/>
        </w:rPr>
        <w:t xml:space="preserve">from </w:t>
      </w:r>
      <w:r w:rsidR="0045015B">
        <w:rPr>
          <w:rFonts w:ascii="Arial" w:hAnsi="Arial" w:cs="Arial"/>
          <w:color w:val="333333"/>
          <w:shd w:val="clear" w:color="auto" w:fill="FFFFFF"/>
        </w:rPr>
        <w:t>out-of-network laboratory</w:t>
      </w:r>
      <w:r>
        <w:rPr>
          <w:rFonts w:ascii="Arial" w:hAnsi="Arial" w:cs="Arial"/>
          <w:color w:val="333333"/>
          <w:shd w:val="clear" w:color="auto" w:fill="FFFFFF"/>
        </w:rPr>
        <w:t xml:space="preserve"> service providers.</w:t>
      </w:r>
    </w:p>
    <w:p w14:paraId="278F7823" w14:textId="664C43E4" w:rsidR="00B26134" w:rsidRDefault="00B26134" w:rsidP="007A46AE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Successfully </w:t>
      </w:r>
      <w:r w:rsidR="006848FD">
        <w:rPr>
          <w:rFonts w:ascii="Arial" w:hAnsi="Arial" w:cs="Arial"/>
          <w:color w:val="333333"/>
          <w:shd w:val="clear" w:color="auto" w:fill="FFFFFF"/>
        </w:rPr>
        <w:t xml:space="preserve">certified a </w:t>
      </w:r>
      <w:r>
        <w:rPr>
          <w:rFonts w:ascii="Arial" w:hAnsi="Arial" w:cs="Arial"/>
          <w:color w:val="333333"/>
          <w:shd w:val="clear" w:color="auto" w:fill="FFFFFF"/>
        </w:rPr>
        <w:t>class of individuals residing in Long Island, New York who lost power for an excessive period of time due to Superstorm Sandy.</w:t>
      </w:r>
    </w:p>
    <w:p w14:paraId="143DC22B" w14:textId="05EF296E" w:rsidR="00B26134" w:rsidRDefault="00B26134" w:rsidP="007A46AE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Represented a class of consumers </w:t>
      </w:r>
      <w:r w:rsidR="006848FD">
        <w:rPr>
          <w:rFonts w:ascii="Arial" w:hAnsi="Arial" w:cs="Arial"/>
          <w:color w:val="333333"/>
          <w:shd w:val="clear" w:color="auto" w:fill="FFFFFF"/>
        </w:rPr>
        <w:t>in a consumer fraud action, which resulted in a successful resolution after class certification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2C19C6FA" w14:textId="77777777" w:rsidR="007D3F09" w:rsidRDefault="007D3F09" w:rsidP="007D3F09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Represented shareholders in a breach of fiduciary duty lawsuit against the directors of a public company who received grossly excessive compensation compared to its peers.</w:t>
      </w:r>
    </w:p>
    <w:p w14:paraId="4E3D13C1" w14:textId="4206D364" w:rsidR="00B26134" w:rsidRDefault="00B26134" w:rsidP="007A46AE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Represented a world renown actress in a private dispute over the destruction of </w:t>
      </w:r>
      <w:r w:rsidR="002D1952">
        <w:rPr>
          <w:rFonts w:ascii="Arial" w:hAnsi="Arial" w:cs="Arial"/>
          <w:color w:val="333333"/>
          <w:shd w:val="clear" w:color="auto" w:fill="FFFFFF"/>
        </w:rPr>
        <w:t xml:space="preserve">a set of </w:t>
      </w:r>
      <w:r>
        <w:rPr>
          <w:rFonts w:ascii="Arial" w:hAnsi="Arial" w:cs="Arial"/>
          <w:color w:val="333333"/>
          <w:shd w:val="clear" w:color="auto" w:fill="FFFFFF"/>
        </w:rPr>
        <w:t>one-of-a-kind rugs.</w:t>
      </w:r>
    </w:p>
    <w:p w14:paraId="7505BF00" w14:textId="3C28CE19" w:rsidR="0079258B" w:rsidRDefault="0079258B" w:rsidP="007A46AE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Represented a world renown artist in a real property dispute relating to the installation of a </w:t>
      </w:r>
      <w:r w:rsidR="00BD582F">
        <w:rPr>
          <w:rFonts w:ascii="Arial" w:hAnsi="Arial" w:cs="Arial"/>
          <w:color w:val="333333"/>
          <w:shd w:val="clear" w:color="auto" w:fill="FFFFFF"/>
        </w:rPr>
        <w:t>public m</w:t>
      </w:r>
      <w:r>
        <w:rPr>
          <w:rFonts w:ascii="Arial" w:hAnsi="Arial" w:cs="Arial"/>
          <w:color w:val="333333"/>
          <w:shd w:val="clear" w:color="auto" w:fill="FFFFFF"/>
        </w:rPr>
        <w:t xml:space="preserve">onument in Puerto Rico. </w:t>
      </w:r>
    </w:p>
    <w:p w14:paraId="4E1468EC" w14:textId="69421E85" w:rsidR="00573187" w:rsidRDefault="00573187" w:rsidP="001340AF">
      <w:pPr>
        <w:spacing w:before="240" w:after="240"/>
        <w:jc w:val="both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PUBLICATIONS</w:t>
      </w:r>
    </w:p>
    <w:p w14:paraId="2899C742" w14:textId="4E4A7478" w:rsidR="00573187" w:rsidRPr="00573187" w:rsidRDefault="00573187" w:rsidP="001340AF">
      <w:pPr>
        <w:spacing w:before="240" w:after="240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333333"/>
          <w:shd w:val="clear" w:color="auto" w:fill="FFFFFF"/>
        </w:rPr>
        <w:t>Working Group Member on “</w:t>
      </w:r>
      <w:r w:rsidRPr="00573187">
        <w:rPr>
          <w:rFonts w:ascii="Arial" w:hAnsi="Arial" w:cs="Arial"/>
          <w:i/>
          <w:iCs/>
          <w:color w:val="333333"/>
          <w:shd w:val="clear" w:color="auto" w:fill="FFFFFF"/>
        </w:rPr>
        <w:t>Report to the President by the New York City Bar Association Working Group on Litigation Funding</w:t>
      </w:r>
      <w:r>
        <w:rPr>
          <w:rFonts w:ascii="Arial" w:hAnsi="Arial" w:cs="Arial"/>
          <w:color w:val="333333"/>
          <w:shd w:val="clear" w:color="auto" w:fill="FFFFFF"/>
        </w:rPr>
        <w:t>,” New York City Bar Association (February 28, 2020).</w:t>
      </w:r>
    </w:p>
    <w:p w14:paraId="184980C9" w14:textId="4CD9796F" w:rsidR="008772A0" w:rsidRPr="007868E7" w:rsidRDefault="008772A0" w:rsidP="001340AF">
      <w:pPr>
        <w:spacing w:before="240" w:after="240"/>
        <w:jc w:val="both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7868E7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EDUCATION</w:t>
      </w:r>
    </w:p>
    <w:p w14:paraId="56DE6E71" w14:textId="77777777" w:rsidR="008772A0" w:rsidRPr="008B3822" w:rsidRDefault="008772A0" w:rsidP="008B3822">
      <w:pPr>
        <w:pStyle w:val="NormalWeb"/>
        <w:shd w:val="clear" w:color="auto" w:fill="FFFFFF"/>
        <w:spacing w:before="0" w:beforeAutospacing="0" w:after="160" w:afterAutospacing="0"/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</w:pPr>
      <w:r w:rsidRPr="008B3822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  <w:t>Northeastern University School of Law, J.D., 2014</w:t>
      </w:r>
    </w:p>
    <w:p w14:paraId="2E3FD392" w14:textId="77777777" w:rsidR="008772A0" w:rsidRPr="008B3822" w:rsidRDefault="008772A0" w:rsidP="008B3822">
      <w:pPr>
        <w:pStyle w:val="NormalWeb"/>
        <w:shd w:val="clear" w:color="auto" w:fill="FFFFFF"/>
        <w:spacing w:before="0" w:beforeAutospacing="0" w:after="160" w:afterAutospacing="0" w:line="360" w:lineRule="atLeast"/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</w:pPr>
      <w:r w:rsidRPr="008B3822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  <w:t>SUNY Geneseo, B.S., Business Administration, 2009</w:t>
      </w:r>
    </w:p>
    <w:p w14:paraId="550BDF13" w14:textId="4F6DF3C9" w:rsidR="00573187" w:rsidRDefault="00573187" w:rsidP="00573187">
      <w:pPr>
        <w:spacing w:before="240" w:after="240"/>
        <w:jc w:val="both"/>
        <w:rPr>
          <w:rFonts w:ascii="DIN W01 Cond Medium" w:hAnsi="DIN W01 Cond Medium"/>
          <w:caps/>
          <w:color w:val="333333"/>
          <w:sz w:val="27"/>
          <w:szCs w:val="27"/>
        </w:rPr>
      </w:pP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ASSOCIATIONS</w:t>
      </w:r>
    </w:p>
    <w:p w14:paraId="1F90AF5B" w14:textId="69D1F6E4" w:rsidR="00573187" w:rsidRPr="008B3822" w:rsidRDefault="00573187" w:rsidP="004E3E57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</w:pPr>
      <w:r w:rsidRPr="008B3822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  <w:t>American Bar Association</w:t>
      </w:r>
    </w:p>
    <w:p w14:paraId="4379C21B" w14:textId="5FBAE283" w:rsidR="00573187" w:rsidRPr="008B3822" w:rsidRDefault="00573187" w:rsidP="004E3E57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</w:pPr>
      <w:r w:rsidRPr="008B3822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  <w:t>Minnesota State Bar Association</w:t>
      </w:r>
    </w:p>
    <w:p w14:paraId="5A87B34B" w14:textId="5AC2015B" w:rsidR="00573187" w:rsidRPr="008B3822" w:rsidRDefault="00573187" w:rsidP="004E3E57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</w:pPr>
      <w:r w:rsidRPr="008B3822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  <w:t>Hennepin County Bar Association</w:t>
      </w:r>
    </w:p>
    <w:p w14:paraId="61A45ECE" w14:textId="5CA89D22" w:rsidR="008772A0" w:rsidRDefault="008772A0" w:rsidP="001340AF">
      <w:pPr>
        <w:spacing w:before="240" w:after="240"/>
        <w:jc w:val="both"/>
        <w:rPr>
          <w:rFonts w:ascii="DIN W01 Cond Medium" w:hAnsi="DIN W01 Cond Medium"/>
          <w:caps/>
          <w:color w:val="333333"/>
          <w:sz w:val="27"/>
          <w:szCs w:val="27"/>
        </w:rPr>
      </w:pPr>
      <w:r w:rsidRPr="007868E7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BAR ADMISSIONS</w:t>
      </w:r>
    </w:p>
    <w:p w14:paraId="79D5EBB6" w14:textId="77777777" w:rsidR="008772A0" w:rsidRPr="008B3822" w:rsidRDefault="008772A0" w:rsidP="00526282">
      <w:pPr>
        <w:pStyle w:val="NormalWeb"/>
        <w:shd w:val="clear" w:color="auto" w:fill="FFFFFF"/>
        <w:spacing w:before="0" w:beforeAutospacing="0" w:after="75" w:afterAutospacing="0"/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</w:pPr>
      <w:r w:rsidRPr="008B3822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  <w:t>Minnesota</w:t>
      </w:r>
      <w:r w:rsidRPr="008B3822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  <w:br/>
        <w:t>New York</w:t>
      </w:r>
      <w:r w:rsidRPr="008B3822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  <w:br/>
        <w:t>U.S. District Court, S.D. N. Y.</w:t>
      </w:r>
      <w:r w:rsidRPr="008B3822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  <w:br/>
        <w:t>U.S. District Court, E.D. N Y.</w:t>
      </w:r>
      <w:r w:rsidRPr="008B3822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</w:rPr>
        <w:br/>
        <w:t>U.S. Court of Appeals, 2nd Cir.</w:t>
      </w:r>
    </w:p>
    <w:p w14:paraId="3FE5ED76" w14:textId="77777777" w:rsidR="008772A0" w:rsidRDefault="008772A0"/>
    <w:sectPr w:rsidR="0087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W01 Cond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91B33"/>
    <w:multiLevelType w:val="hybridMultilevel"/>
    <w:tmpl w:val="469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2D86"/>
    <w:multiLevelType w:val="hybridMultilevel"/>
    <w:tmpl w:val="2E249670"/>
    <w:lvl w:ilvl="0" w:tplc="DDB296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92"/>
    <w:rsid w:val="001340AF"/>
    <w:rsid w:val="00177AF7"/>
    <w:rsid w:val="001B6760"/>
    <w:rsid w:val="001C38B3"/>
    <w:rsid w:val="0022021C"/>
    <w:rsid w:val="0022194A"/>
    <w:rsid w:val="002370B8"/>
    <w:rsid w:val="002D1952"/>
    <w:rsid w:val="002F769D"/>
    <w:rsid w:val="00363AD2"/>
    <w:rsid w:val="00427C60"/>
    <w:rsid w:val="00443759"/>
    <w:rsid w:val="0045015B"/>
    <w:rsid w:val="004542D4"/>
    <w:rsid w:val="004E3E57"/>
    <w:rsid w:val="00526282"/>
    <w:rsid w:val="00527BD3"/>
    <w:rsid w:val="00573187"/>
    <w:rsid w:val="006067E4"/>
    <w:rsid w:val="00607D7D"/>
    <w:rsid w:val="00637F70"/>
    <w:rsid w:val="006639CC"/>
    <w:rsid w:val="006848FD"/>
    <w:rsid w:val="006A6481"/>
    <w:rsid w:val="007868E7"/>
    <w:rsid w:val="0079258B"/>
    <w:rsid w:val="007A46AE"/>
    <w:rsid w:val="007D3F09"/>
    <w:rsid w:val="00802311"/>
    <w:rsid w:val="008772A0"/>
    <w:rsid w:val="008B3822"/>
    <w:rsid w:val="00945774"/>
    <w:rsid w:val="0095504B"/>
    <w:rsid w:val="00967D92"/>
    <w:rsid w:val="009A0ADC"/>
    <w:rsid w:val="00A7671E"/>
    <w:rsid w:val="00A912A6"/>
    <w:rsid w:val="00AF198C"/>
    <w:rsid w:val="00B26134"/>
    <w:rsid w:val="00BD582F"/>
    <w:rsid w:val="00C30144"/>
    <w:rsid w:val="00CD1512"/>
    <w:rsid w:val="00D20634"/>
    <w:rsid w:val="00D437F1"/>
    <w:rsid w:val="00D757F3"/>
    <w:rsid w:val="00E07E54"/>
    <w:rsid w:val="00E24D85"/>
    <w:rsid w:val="00E71887"/>
    <w:rsid w:val="00E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334B"/>
  <w15:chartTrackingRefBased/>
  <w15:docId w15:val="{D1C0D836-D237-4BED-BF17-B52E198C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ext">
    <w:name w:val="htext"/>
    <w:basedOn w:val="Normal"/>
    <w:rsid w:val="0096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D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1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215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75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@bcdavenport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Smith</dc:creator>
  <cp:keywords/>
  <dc:description/>
  <cp:lastModifiedBy>Sean Zaroogian</cp:lastModifiedBy>
  <cp:revision>41</cp:revision>
  <dcterms:created xsi:type="dcterms:W3CDTF">2021-03-01T16:25:00Z</dcterms:created>
  <dcterms:modified xsi:type="dcterms:W3CDTF">2021-03-11T16:15:00Z</dcterms:modified>
</cp:coreProperties>
</file>